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10260" w:type="dxa"/>
        <w:tblCellMar>
          <w:left w:w="0" w:type="dxa"/>
          <w:right w:w="0" w:type="dxa"/>
        </w:tblCellMar>
        <w:tblLook w:val="04A0"/>
      </w:tblPr>
      <w:tblGrid>
        <w:gridCol w:w="10260"/>
      </w:tblGrid>
      <w:tr w:rsidR="009340AE" w:rsidTr="009340AE">
        <w:tc>
          <w:tcPr>
            <w:tcW w:w="10260" w:type="dxa"/>
            <w:tcMar>
              <w:top w:w="0" w:type="dxa"/>
              <w:left w:w="72" w:type="dxa"/>
              <w:bottom w:w="0" w:type="dxa"/>
              <w:right w:w="72" w:type="dxa"/>
            </w:tcMar>
            <w:hideMark/>
          </w:tcPr>
          <w:p w:rsidR="009340AE" w:rsidRDefault="009340AE">
            <w:pPr>
              <w:spacing w:line="252" w:lineRule="auto"/>
              <w:jc w:val="center"/>
            </w:pPr>
            <w:r>
              <w:rPr>
                <w:noProof/>
              </w:rPr>
              <w:drawing>
                <wp:inline distT="0" distB="0" distL="0" distR="0">
                  <wp:extent cx="1750695" cy="525145"/>
                  <wp:effectExtent l="0" t="0" r="1905" b="8255"/>
                  <wp:docPr id="5" name="Picture 5" descr="cid:image001.png@01D564DB.7446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564DB.74465740"/>
                          <pic:cNvPicPr>
                            <a:picLocks noChangeAspect="1" noChangeArrowheads="1"/>
                          </pic:cNvPicPr>
                        </pic:nvPicPr>
                        <pic:blipFill>
                          <a:blip r:embed="rId7" r:link="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0695" cy="525145"/>
                          </a:xfrm>
                          <a:prstGeom prst="rect">
                            <a:avLst/>
                          </a:prstGeom>
                          <a:noFill/>
                          <a:ln>
                            <a:noFill/>
                          </a:ln>
                        </pic:spPr>
                      </pic:pic>
                    </a:graphicData>
                  </a:graphic>
                </wp:inline>
              </w:drawing>
            </w:r>
          </w:p>
          <w:p w:rsidR="009340AE" w:rsidRDefault="009340AE">
            <w:pPr>
              <w:spacing w:line="252" w:lineRule="auto"/>
              <w:jc w:val="center"/>
            </w:pPr>
            <w:r>
              <w:rPr>
                <w:b/>
                <w:bCs/>
                <w:sz w:val="16"/>
                <w:szCs w:val="16"/>
              </w:rPr>
              <w:t> </w:t>
            </w:r>
            <w:r>
              <w:rPr>
                <w:b/>
                <w:bCs/>
                <w:sz w:val="28"/>
                <w:szCs w:val="28"/>
              </w:rPr>
              <w:t>and</w:t>
            </w:r>
          </w:p>
          <w:p w:rsidR="0050279A" w:rsidRDefault="0050279A" w:rsidP="0050279A">
            <w:pPr>
              <w:jc w:val="center"/>
              <w:rPr>
                <w:rStyle w:val="Hyperlink"/>
                <w:b/>
                <w:bCs/>
                <w:color w:val="auto"/>
                <w:sz w:val="28"/>
                <w:szCs w:val="28"/>
                <w:u w:val="none"/>
              </w:rPr>
            </w:pPr>
            <w:r>
              <w:rPr>
                <w:rStyle w:val="Hyperlink"/>
                <w:b/>
                <w:bCs/>
                <w:color w:val="auto"/>
                <w:sz w:val="28"/>
                <w:szCs w:val="28"/>
                <w:u w:val="none"/>
              </w:rPr>
              <w:t xml:space="preserve">Migration and Remittances </w:t>
            </w:r>
            <w:r w:rsidRPr="004C7073">
              <w:rPr>
                <w:rStyle w:val="Hyperlink"/>
                <w:b/>
                <w:bCs/>
                <w:color w:val="auto"/>
                <w:sz w:val="28"/>
                <w:szCs w:val="28"/>
                <w:u w:val="none"/>
              </w:rPr>
              <w:t>Team</w:t>
            </w:r>
          </w:p>
          <w:p w:rsidR="0050279A" w:rsidRDefault="0050279A" w:rsidP="0050279A">
            <w:pPr>
              <w:jc w:val="center"/>
              <w:rPr>
                <w:rStyle w:val="Hyperlink"/>
                <w:b/>
                <w:bCs/>
                <w:color w:val="auto"/>
                <w:sz w:val="28"/>
                <w:szCs w:val="28"/>
                <w:u w:val="none"/>
              </w:rPr>
            </w:pPr>
            <w:r>
              <w:rPr>
                <w:sz w:val="28"/>
                <w:szCs w:val="28"/>
              </w:rPr>
              <w:t>In Social Protection and Jobs Global Practice</w:t>
            </w:r>
          </w:p>
          <w:p w:rsidR="0050279A" w:rsidRDefault="0050279A" w:rsidP="0050279A">
            <w:pPr>
              <w:jc w:val="center"/>
              <w:rPr>
                <w:sz w:val="24"/>
                <w:szCs w:val="24"/>
              </w:rPr>
            </w:pPr>
            <w:r>
              <w:rPr>
                <w:rStyle w:val="Hyperlink"/>
                <w:b/>
                <w:bCs/>
                <w:color w:val="auto"/>
                <w:sz w:val="28"/>
                <w:szCs w:val="28"/>
                <w:u w:val="none"/>
              </w:rPr>
              <w:t>cordially invite you to a</w:t>
            </w:r>
          </w:p>
          <w:p w:rsidR="0050279A" w:rsidRDefault="0050279A" w:rsidP="0050279A">
            <w:pPr>
              <w:jc w:val="center"/>
              <w:rPr>
                <w:rStyle w:val="Hyperlink"/>
                <w:rFonts w:ascii="Times New Roman" w:hAnsi="Times New Roman" w:cs="Times New Roman"/>
                <w:color w:val="auto"/>
                <w:sz w:val="20"/>
                <w:szCs w:val="20"/>
                <w:u w:val="none"/>
              </w:rPr>
            </w:pPr>
          </w:p>
          <w:p w:rsidR="0050279A" w:rsidRDefault="0050279A" w:rsidP="0050279A">
            <w:pPr>
              <w:jc w:val="center"/>
              <w:rPr>
                <w:rStyle w:val="Hyperlink"/>
                <w:b/>
                <w:bCs/>
                <w:color w:val="auto"/>
                <w:sz w:val="32"/>
                <w:szCs w:val="32"/>
                <w:u w:val="none"/>
              </w:rPr>
            </w:pPr>
            <w:r>
              <w:rPr>
                <w:rStyle w:val="Hyperlink"/>
                <w:b/>
                <w:bCs/>
                <w:color w:val="auto"/>
                <w:sz w:val="32"/>
                <w:szCs w:val="32"/>
                <w:u w:val="none"/>
              </w:rPr>
              <w:t>KNOMAD Seminar</w:t>
            </w:r>
          </w:p>
          <w:p w:rsidR="009340AE" w:rsidRDefault="009340AE">
            <w:pPr>
              <w:spacing w:line="252" w:lineRule="auto"/>
              <w:jc w:val="center"/>
            </w:pPr>
            <w:r>
              <w:rPr>
                <w:rFonts w:ascii="Times New Roman" w:hAnsi="Times New Roman" w:cs="Times New Roman"/>
                <w:sz w:val="20"/>
                <w:szCs w:val="20"/>
              </w:rPr>
              <w:t> </w:t>
            </w:r>
          </w:p>
          <w:p w:rsidR="00234C98" w:rsidRPr="00C816BC" w:rsidRDefault="00234C98" w:rsidP="0050279A">
            <w:pPr>
              <w:jc w:val="center"/>
              <w:rPr>
                <w:b/>
                <w:sz w:val="32"/>
              </w:rPr>
            </w:pPr>
            <w:r w:rsidRPr="00C816BC">
              <w:rPr>
                <w:rFonts w:eastAsia="Times New Roman"/>
                <w:b/>
                <w:sz w:val="32"/>
              </w:rPr>
              <w:t>The Greatest Anti-Poverty Success Story I Know</w:t>
            </w:r>
          </w:p>
          <w:p w:rsidR="0050279A" w:rsidRPr="006134CF" w:rsidRDefault="00DC45F1" w:rsidP="0050279A">
            <w:pPr>
              <w:jc w:val="center"/>
              <w:rPr>
                <w:rStyle w:val="Hyperlink"/>
                <w:color w:val="auto"/>
                <w:sz w:val="24"/>
                <w:szCs w:val="24"/>
                <w:u w:val="none"/>
              </w:rPr>
            </w:pPr>
            <w:r>
              <w:rPr>
                <w:rStyle w:val="Hyperlink"/>
                <w:bCs/>
                <w:color w:val="auto"/>
                <w:sz w:val="24"/>
                <w:szCs w:val="24"/>
                <w:u w:val="none"/>
              </w:rPr>
              <w:t>T</w:t>
            </w:r>
            <w:r w:rsidR="003A2604">
              <w:rPr>
                <w:rStyle w:val="Hyperlink"/>
                <w:bCs/>
                <w:color w:val="auto"/>
                <w:sz w:val="24"/>
                <w:szCs w:val="24"/>
                <w:u w:val="none"/>
              </w:rPr>
              <w:t>hursday,</w:t>
            </w:r>
            <w:r w:rsidR="00C816BC">
              <w:rPr>
                <w:rStyle w:val="Hyperlink"/>
                <w:bCs/>
                <w:color w:val="auto"/>
                <w:sz w:val="24"/>
                <w:szCs w:val="24"/>
                <w:u w:val="none"/>
              </w:rPr>
              <w:t xml:space="preserve"> February</w:t>
            </w:r>
            <w:r w:rsidR="003A2604">
              <w:rPr>
                <w:rStyle w:val="Hyperlink"/>
                <w:bCs/>
                <w:color w:val="auto"/>
                <w:sz w:val="24"/>
                <w:szCs w:val="24"/>
                <w:u w:val="none"/>
              </w:rPr>
              <w:t xml:space="preserve"> 13th</w:t>
            </w:r>
            <w:r w:rsidR="0050279A" w:rsidRPr="006134CF">
              <w:rPr>
                <w:rStyle w:val="Hyperlink"/>
                <w:bCs/>
                <w:color w:val="auto"/>
                <w:sz w:val="24"/>
                <w:szCs w:val="24"/>
                <w:u w:val="none"/>
              </w:rPr>
              <w:t>, 20</w:t>
            </w:r>
            <w:r w:rsidR="00874A0A">
              <w:rPr>
                <w:rStyle w:val="Hyperlink"/>
                <w:bCs/>
                <w:color w:val="auto"/>
                <w:sz w:val="24"/>
                <w:szCs w:val="24"/>
                <w:u w:val="none"/>
              </w:rPr>
              <w:t>20</w:t>
            </w:r>
          </w:p>
          <w:p w:rsidR="0050279A" w:rsidRDefault="0050279A" w:rsidP="0050279A">
            <w:pPr>
              <w:jc w:val="center"/>
              <w:rPr>
                <w:rStyle w:val="Hyperlink"/>
                <w:b/>
                <w:bCs/>
                <w:color w:val="auto"/>
                <w:u w:val="none"/>
              </w:rPr>
            </w:pPr>
            <w:r>
              <w:rPr>
                <w:rStyle w:val="Hyperlink"/>
                <w:b/>
                <w:bCs/>
                <w:color w:val="auto"/>
                <w:u w:val="none"/>
              </w:rPr>
              <w:t>12:30pm-2pm</w:t>
            </w:r>
          </w:p>
          <w:p w:rsidR="0050279A" w:rsidRDefault="0050279A" w:rsidP="0050279A">
            <w:pPr>
              <w:jc w:val="center"/>
              <w:rPr>
                <w:rStyle w:val="Hyperlink"/>
                <w:b/>
                <w:bCs/>
                <w:color w:val="auto"/>
                <w:u w:val="none"/>
              </w:rPr>
            </w:pPr>
            <w:r>
              <w:rPr>
                <w:rStyle w:val="Hyperlink"/>
                <w:b/>
                <w:bCs/>
                <w:color w:val="auto"/>
                <w:u w:val="none"/>
              </w:rPr>
              <w:t>Room MC</w:t>
            </w:r>
            <w:r w:rsidR="004C7073">
              <w:rPr>
                <w:rStyle w:val="Hyperlink"/>
                <w:b/>
                <w:bCs/>
                <w:color w:val="auto"/>
                <w:u w:val="none"/>
              </w:rPr>
              <w:t xml:space="preserve"> C2 -3</w:t>
            </w:r>
            <w:r w:rsidR="003A2604">
              <w:rPr>
                <w:rStyle w:val="Hyperlink"/>
                <w:b/>
                <w:bCs/>
                <w:color w:val="auto"/>
                <w:u w:val="none"/>
              </w:rPr>
              <w:t>5</w:t>
            </w:r>
            <w:r w:rsidR="00874A0A">
              <w:rPr>
                <w:rStyle w:val="Hyperlink"/>
                <w:b/>
                <w:bCs/>
                <w:color w:val="auto"/>
                <w:u w:val="none"/>
              </w:rPr>
              <w:t>0</w:t>
            </w:r>
          </w:p>
          <w:p w:rsidR="0050279A" w:rsidRDefault="0050279A" w:rsidP="0050279A">
            <w:pPr>
              <w:rPr>
                <w:color w:val="4472C4"/>
              </w:rPr>
            </w:pPr>
          </w:p>
          <w:p w:rsidR="0050279A" w:rsidRDefault="00686E74" w:rsidP="00686E74">
            <w:r w:rsidRPr="00E43AE9">
              <w:rPr>
                <w:rFonts w:eastAsia="Times New Roman"/>
              </w:rPr>
              <w:t>Jason DeParle of </w:t>
            </w:r>
            <w:r w:rsidRPr="00E43AE9">
              <w:rPr>
                <w:rFonts w:eastAsia="Times New Roman"/>
                <w:i/>
                <w:iCs/>
              </w:rPr>
              <w:t>The New York Times</w:t>
            </w:r>
            <w:r w:rsidRPr="00E43AE9">
              <w:rPr>
                <w:rFonts w:eastAsia="Times New Roman"/>
              </w:rPr>
              <w:t> spent 32 years following a​n extended family of Filipino</w:t>
            </w:r>
            <w:r>
              <w:rPr>
                <w:rFonts w:eastAsia="Times New Roman"/>
              </w:rPr>
              <w:t>s</w:t>
            </w:r>
            <w:r w:rsidRPr="00E43AE9">
              <w:rPr>
                <w:rFonts w:eastAsia="Times New Roman"/>
              </w:rPr>
              <w:t xml:space="preserve">​ </w:t>
            </w:r>
            <w:r>
              <w:rPr>
                <w:rFonts w:eastAsia="Times New Roman"/>
              </w:rPr>
              <w:t xml:space="preserve">migrants as a series of journeys, across three generations, </w:t>
            </w:r>
            <w:r w:rsidRPr="00E43AE9">
              <w:rPr>
                <w:rFonts w:eastAsia="Times New Roman"/>
              </w:rPr>
              <w:t>lifted them from shantytown squalor in Manila to a middle-class life</w:t>
            </w:r>
            <w:r>
              <w:rPr>
                <w:rFonts w:eastAsia="Times New Roman"/>
              </w:rPr>
              <w:t xml:space="preserve"> in Texas.</w:t>
            </w:r>
            <w:r w:rsidRPr="00E43AE9">
              <w:rPr>
                <w:rFonts w:eastAsia="Times New Roman"/>
              </w:rPr>
              <w:t xml:space="preserve"> His new book </w:t>
            </w:r>
            <w:r w:rsidRPr="00E43AE9">
              <w:rPr>
                <w:rFonts w:eastAsia="Times New Roman"/>
                <w:i/>
                <w:iCs/>
              </w:rPr>
              <w:t>A Good Provider is One Who Leaves</w:t>
            </w:r>
            <w:r w:rsidRPr="00E43AE9">
              <w:rPr>
                <w:rFonts w:eastAsia="Times New Roman"/>
              </w:rPr>
              <w:t xml:space="preserve"> provides </w:t>
            </w:r>
            <w:r>
              <w:rPr>
                <w:rFonts w:eastAsia="Times New Roman"/>
              </w:rPr>
              <w:t xml:space="preserve">both </w:t>
            </w:r>
            <w:r w:rsidRPr="00E43AE9">
              <w:rPr>
                <w:rFonts w:eastAsia="Times New Roman"/>
              </w:rPr>
              <w:t xml:space="preserve">an intimate look at </w:t>
            </w:r>
            <w:r>
              <w:rPr>
                <w:rFonts w:eastAsia="Times New Roman"/>
              </w:rPr>
              <w:t xml:space="preserve">one family’s transformation </w:t>
            </w:r>
            <w:r w:rsidRPr="00E43AE9">
              <w:rPr>
                <w:rFonts w:eastAsia="Times New Roman"/>
              </w:rPr>
              <w:t xml:space="preserve">and a wide-angled analysis of migration’s </w:t>
            </w:r>
            <w:r>
              <w:rPr>
                <w:rFonts w:eastAsia="Times New Roman"/>
              </w:rPr>
              <w:t>growing impact across the globe</w:t>
            </w:r>
            <w:r w:rsidRPr="00E43AE9">
              <w:rPr>
                <w:rFonts w:eastAsia="Times New Roman"/>
              </w:rPr>
              <w:t>.</w:t>
            </w:r>
            <w:r>
              <w:rPr>
                <w:rFonts w:eastAsia="Times New Roman"/>
              </w:rPr>
              <w:t xml:space="preserve"> It covers topics as varied as remittances, immigration integration, and the populist anti-immigrant backlash.</w:t>
            </w:r>
            <w:r w:rsidRPr="00EA3E6A">
              <w:rPr>
                <w:rFonts w:eastAsia="Times New Roman"/>
                <w:i/>
                <w:iCs/>
              </w:rPr>
              <w:t xml:space="preserve">The Washington Post </w:t>
            </w:r>
            <w:r>
              <w:rPr>
                <w:rFonts w:eastAsia="Times New Roman"/>
              </w:rPr>
              <w:t xml:space="preserve">labeled </w:t>
            </w:r>
            <w:r w:rsidRPr="002201A1">
              <w:rPr>
                <w:rFonts w:eastAsia="Times New Roman"/>
                <w:i/>
                <w:iCs/>
              </w:rPr>
              <w:t>A Good Provider is One Who Leaves</w:t>
            </w:r>
            <w:r>
              <w:rPr>
                <w:rFonts w:eastAsia="Times New Roman"/>
              </w:rPr>
              <w:t xml:space="preserve"> one of the top ten books of the year. Fareed Zakaria calls it ``the best book on immigration I’ve read.’’ DeParle will discuss his experiences living with the family in the Manila slums and what their extraordinary journey shows about the rise of global migration.</w:t>
            </w:r>
            <w:r w:rsidR="0050279A">
              <w:t> </w:t>
            </w:r>
          </w:p>
          <w:p w:rsidR="00FA4915" w:rsidRPr="00686E74" w:rsidRDefault="00FA4915" w:rsidP="00686E74">
            <w:pPr>
              <w:rPr>
                <w:rFonts w:eastAsia="Times New Roman"/>
              </w:rPr>
            </w:pPr>
          </w:p>
          <w:p w:rsidR="0050279A" w:rsidRDefault="0050279A" w:rsidP="0050279A">
            <w:pPr>
              <w:autoSpaceDE w:val="0"/>
              <w:autoSpaceDN w:val="0"/>
              <w:jc w:val="both"/>
            </w:pPr>
          </w:p>
          <w:p w:rsidR="0050279A" w:rsidRPr="006134CF" w:rsidRDefault="0050279A" w:rsidP="0050279A">
            <w:pPr>
              <w:jc w:val="center"/>
              <w:rPr>
                <w:rStyle w:val="Hyperlink"/>
                <w:b/>
                <w:bCs/>
                <w:color w:val="2E75B6"/>
                <w:sz w:val="24"/>
                <w:szCs w:val="24"/>
                <w:u w:val="none"/>
              </w:rPr>
            </w:pPr>
            <w:r w:rsidRPr="006134CF">
              <w:rPr>
                <w:rStyle w:val="Hyperlink"/>
                <w:b/>
                <w:bCs/>
                <w:color w:val="2E75B6"/>
                <w:sz w:val="24"/>
                <w:szCs w:val="24"/>
                <w:u w:val="none"/>
              </w:rPr>
              <w:t>Speaker</w:t>
            </w:r>
          </w:p>
          <w:p w:rsidR="0050279A" w:rsidRPr="006134CF" w:rsidRDefault="0050279A" w:rsidP="0050279A">
            <w:pPr>
              <w:jc w:val="center"/>
              <w:rPr>
                <w:sz w:val="24"/>
                <w:szCs w:val="24"/>
              </w:rPr>
            </w:pPr>
          </w:p>
          <w:p w:rsidR="004C7073" w:rsidRPr="00F75E71" w:rsidRDefault="001D7915" w:rsidP="0050279A">
            <w:pPr>
              <w:jc w:val="center"/>
              <w:rPr>
                <w:sz w:val="28"/>
                <w:szCs w:val="24"/>
              </w:rPr>
            </w:pPr>
            <w:r>
              <w:rPr>
                <w:b/>
                <w:bCs/>
                <w:color w:val="000000"/>
                <w:sz w:val="28"/>
                <w:szCs w:val="24"/>
              </w:rPr>
              <w:t>Jason DeParle</w:t>
            </w:r>
          </w:p>
          <w:p w:rsidR="004C7073" w:rsidRPr="006134CF" w:rsidRDefault="009169AB" w:rsidP="004C7073">
            <w:pPr>
              <w:shd w:val="clear" w:color="auto" w:fill="FFFFFF"/>
              <w:jc w:val="center"/>
              <w:rPr>
                <w:color w:val="7F7F7F"/>
                <w:sz w:val="24"/>
                <w:szCs w:val="24"/>
              </w:rPr>
            </w:pPr>
            <w:r>
              <w:rPr>
                <w:sz w:val="24"/>
                <w:szCs w:val="24"/>
              </w:rPr>
              <w:t>Journalist, New York Times</w:t>
            </w:r>
          </w:p>
          <w:p w:rsidR="004C7073" w:rsidRPr="006134CF" w:rsidRDefault="004C7073" w:rsidP="0050279A">
            <w:pPr>
              <w:jc w:val="center"/>
              <w:rPr>
                <w:sz w:val="24"/>
                <w:szCs w:val="24"/>
              </w:rPr>
            </w:pPr>
          </w:p>
          <w:p w:rsidR="00F75E71" w:rsidRPr="006134CF" w:rsidRDefault="00F75E71" w:rsidP="00F75E71">
            <w:pPr>
              <w:jc w:val="center"/>
              <w:rPr>
                <w:rStyle w:val="Hyperlink"/>
                <w:b/>
                <w:bCs/>
                <w:color w:val="2E75B6"/>
                <w:sz w:val="24"/>
                <w:szCs w:val="24"/>
                <w:u w:val="none"/>
              </w:rPr>
            </w:pPr>
            <w:r>
              <w:rPr>
                <w:rStyle w:val="Hyperlink"/>
                <w:b/>
                <w:bCs/>
                <w:color w:val="2E75B6"/>
                <w:sz w:val="24"/>
                <w:szCs w:val="24"/>
                <w:u w:val="none"/>
              </w:rPr>
              <w:t>Chair</w:t>
            </w:r>
          </w:p>
          <w:p w:rsidR="004C7073" w:rsidRPr="00F75E71" w:rsidRDefault="004C7073" w:rsidP="0050279A">
            <w:pPr>
              <w:jc w:val="center"/>
              <w:rPr>
                <w:b/>
                <w:sz w:val="28"/>
                <w:szCs w:val="24"/>
              </w:rPr>
            </w:pPr>
            <w:r w:rsidRPr="00F75E71">
              <w:rPr>
                <w:b/>
                <w:sz w:val="28"/>
                <w:szCs w:val="24"/>
              </w:rPr>
              <w:t>Dilip Ratha</w:t>
            </w:r>
          </w:p>
          <w:p w:rsidR="004C7073" w:rsidRDefault="00DC2275" w:rsidP="0050279A">
            <w:pPr>
              <w:jc w:val="center"/>
            </w:pPr>
            <w:r>
              <w:t>Head of KNOMAD, Lead Economist, Migration and Remittances, Social Protection and Jobs Global Practice, World Bank</w:t>
            </w:r>
          </w:p>
          <w:p w:rsidR="00DC2275" w:rsidRPr="006134CF" w:rsidRDefault="00DC2275" w:rsidP="0050279A">
            <w:pPr>
              <w:jc w:val="center"/>
              <w:rPr>
                <w:sz w:val="24"/>
                <w:szCs w:val="24"/>
              </w:rPr>
            </w:pPr>
          </w:p>
          <w:p w:rsidR="0050279A" w:rsidRDefault="0050279A">
            <w:pPr>
              <w:spacing w:line="252" w:lineRule="auto"/>
              <w:jc w:val="center"/>
            </w:pPr>
          </w:p>
          <w:p w:rsidR="009340AE" w:rsidRDefault="009340AE">
            <w:pPr>
              <w:spacing w:line="252" w:lineRule="auto"/>
              <w:ind w:left="720" w:hanging="720"/>
            </w:pPr>
            <w:r>
              <w:t> </w:t>
            </w:r>
          </w:p>
          <w:p w:rsidR="00536DEF" w:rsidRDefault="00536DEF" w:rsidP="00536DEF">
            <w:pPr>
              <w:rPr>
                <w:sz w:val="24"/>
                <w:szCs w:val="24"/>
                <w:shd w:val="clear" w:color="auto" w:fill="FFFFFF"/>
              </w:rPr>
            </w:pPr>
          </w:p>
          <w:p w:rsidR="009340AE" w:rsidRDefault="009340AE" w:rsidP="00DC45F1">
            <w:pPr>
              <w:spacing w:line="252" w:lineRule="auto"/>
            </w:pPr>
            <w:r>
              <w:t> </w:t>
            </w:r>
          </w:p>
          <w:tbl>
            <w:tblPr>
              <w:tblW w:w="0" w:type="auto"/>
              <w:tblCellMar>
                <w:left w:w="0" w:type="dxa"/>
                <w:right w:w="0" w:type="dxa"/>
              </w:tblCellMar>
              <w:tblLook w:val="04A0"/>
            </w:tblPr>
            <w:tblGrid>
              <w:gridCol w:w="2736"/>
              <w:gridCol w:w="7380"/>
            </w:tblGrid>
            <w:tr w:rsidR="00540B29">
              <w:tc>
                <w:tcPr>
                  <w:tcW w:w="2706" w:type="dxa"/>
                  <w:tcMar>
                    <w:top w:w="0" w:type="dxa"/>
                    <w:left w:w="108" w:type="dxa"/>
                    <w:bottom w:w="0" w:type="dxa"/>
                    <w:right w:w="108" w:type="dxa"/>
                  </w:tcMar>
                  <w:hideMark/>
                </w:tcPr>
                <w:p w:rsidR="009340AE" w:rsidRDefault="00540B29" w:rsidP="003361FF">
                  <w:pPr>
                    <w:framePr w:hSpace="180" w:wrap="around" w:vAnchor="text" w:hAnchor="text"/>
                    <w:spacing w:line="252" w:lineRule="auto"/>
                    <w:jc w:val="both"/>
                  </w:pPr>
                  <w:r>
                    <w:rPr>
                      <w:noProof/>
                    </w:rPr>
                    <w:lastRenderedPageBreak/>
                    <w:drawing>
                      <wp:inline distT="0" distB="0" distL="0" distR="0">
                        <wp:extent cx="1285875" cy="1928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3858" cy="1940337"/>
                                </a:xfrm>
                                <a:prstGeom prst="rect">
                                  <a:avLst/>
                                </a:prstGeom>
                                <a:noFill/>
                                <a:ln>
                                  <a:noFill/>
                                </a:ln>
                              </pic:spPr>
                            </pic:pic>
                          </a:graphicData>
                        </a:graphic>
                      </wp:inline>
                    </w:drawing>
                  </w:r>
                </w:p>
                <w:p w:rsidR="009340AE" w:rsidRDefault="009340AE" w:rsidP="003361FF">
                  <w:pPr>
                    <w:framePr w:hSpace="180" w:wrap="around" w:vAnchor="text" w:hAnchor="text"/>
                    <w:spacing w:line="252" w:lineRule="auto"/>
                    <w:jc w:val="both"/>
                  </w:pPr>
                  <w:r>
                    <w:t> </w:t>
                  </w:r>
                </w:p>
              </w:tc>
              <w:tc>
                <w:tcPr>
                  <w:tcW w:w="7380" w:type="dxa"/>
                  <w:tcMar>
                    <w:top w:w="0" w:type="dxa"/>
                    <w:left w:w="108" w:type="dxa"/>
                    <w:bottom w:w="0" w:type="dxa"/>
                    <w:right w:w="108" w:type="dxa"/>
                  </w:tcMar>
                  <w:hideMark/>
                </w:tcPr>
                <w:p w:rsidR="00BC3EC2" w:rsidRPr="002201A1" w:rsidRDefault="00540B29" w:rsidP="003361FF">
                  <w:pPr>
                    <w:framePr w:hSpace="180" w:wrap="around" w:vAnchor="text" w:hAnchor="text"/>
                    <w:rPr>
                      <w:rFonts w:eastAsia="Times New Roman"/>
                    </w:rPr>
                  </w:pPr>
                  <w:r>
                    <w:rPr>
                      <w:rFonts w:ascii="Times New Roman" w:hAnsi="Times New Roman" w:cs="Times New Roman"/>
                      <w:b/>
                      <w:shd w:val="clear" w:color="auto" w:fill="FFFFFF"/>
                    </w:rPr>
                    <w:t>Jason DeParle</w:t>
                  </w:r>
                  <w:bookmarkStart w:id="0" w:name="_GoBack"/>
                  <w:bookmarkEnd w:id="0"/>
                  <w:r w:rsidR="00BC3EC2" w:rsidRPr="002201A1">
                    <w:rPr>
                      <w:rFonts w:eastAsia="Times New Roman"/>
                      <w:color w:val="1C1C1C"/>
                    </w:rPr>
                    <w:t xml:space="preserve">is a reporter for </w:t>
                  </w:r>
                  <w:r w:rsidR="00BC3EC2" w:rsidRPr="002201A1">
                    <w:rPr>
                      <w:rFonts w:eastAsia="Times New Roman"/>
                      <w:i/>
                      <w:iCs/>
                      <w:color w:val="1C1C1C"/>
                    </w:rPr>
                    <w:t>The New York Times</w:t>
                  </w:r>
                  <w:r w:rsidR="00BC3EC2" w:rsidRPr="002201A1">
                    <w:rPr>
                      <w:rFonts w:eastAsia="Times New Roman"/>
                      <w:color w:val="1C1C1C"/>
                    </w:rPr>
                    <w:t xml:space="preserve"> and has written extensively about poverty and immigration. His book, </w:t>
                  </w:r>
                  <w:hyperlink r:id="rId10" w:history="1">
                    <w:r w:rsidR="00BC3EC2" w:rsidRPr="002201A1">
                      <w:rPr>
                        <w:rFonts w:eastAsia="Times New Roman"/>
                        <w:b/>
                        <w:bCs/>
                        <w:i/>
                        <w:iCs/>
                        <w:color w:val="3182A0"/>
                      </w:rPr>
                      <w:t>American Dream: Three Women, Ten Kids, and a Nation’s Drive to End Welfare</w:t>
                    </w:r>
                  </w:hyperlink>
                  <w:r w:rsidR="00BC3EC2" w:rsidRPr="002201A1">
                    <w:rPr>
                      <w:rFonts w:eastAsia="Times New Roman"/>
                      <w:color w:val="1C1C1C"/>
                    </w:rPr>
                    <w:t xml:space="preserve"> won the Helen Bernstein Award from the New York City Library. He is a recipient of the George Polk Award and is a two-time finalist for the Pulitzer Prize.</w:t>
                  </w:r>
                </w:p>
                <w:p w:rsidR="009340AE" w:rsidRPr="009340AE" w:rsidRDefault="009340AE" w:rsidP="003361FF">
                  <w:pPr>
                    <w:framePr w:hSpace="180" w:wrap="around" w:vAnchor="text" w:hAnchor="text"/>
                    <w:rPr>
                      <w:rFonts w:ascii="Times New Roman" w:hAnsi="Times New Roman" w:cs="Times New Roman"/>
                    </w:rPr>
                  </w:pPr>
                </w:p>
                <w:p w:rsidR="009340AE" w:rsidRDefault="009340AE" w:rsidP="003361FF">
                  <w:pPr>
                    <w:framePr w:hSpace="180" w:wrap="around" w:vAnchor="text" w:hAnchor="text"/>
                    <w:spacing w:line="252" w:lineRule="auto"/>
                    <w:jc w:val="both"/>
                  </w:pPr>
                </w:p>
              </w:tc>
            </w:tr>
            <w:tr w:rsidR="00540B29">
              <w:tc>
                <w:tcPr>
                  <w:tcW w:w="2706" w:type="dxa"/>
                  <w:tcMar>
                    <w:top w:w="0" w:type="dxa"/>
                    <w:left w:w="108" w:type="dxa"/>
                    <w:bottom w:w="0" w:type="dxa"/>
                    <w:right w:w="108" w:type="dxa"/>
                  </w:tcMar>
                  <w:hideMark/>
                </w:tcPr>
                <w:p w:rsidR="009340AE" w:rsidRDefault="009340AE" w:rsidP="003361FF">
                  <w:pPr>
                    <w:framePr w:hSpace="180" w:wrap="around" w:vAnchor="text" w:hAnchor="text"/>
                    <w:spacing w:line="252" w:lineRule="auto"/>
                    <w:jc w:val="both"/>
                  </w:pPr>
                  <w:r>
                    <w:t> </w:t>
                  </w:r>
                </w:p>
                <w:p w:rsidR="009340AE" w:rsidRDefault="009340AE" w:rsidP="003361FF">
                  <w:pPr>
                    <w:framePr w:hSpace="180" w:wrap="around" w:vAnchor="text" w:hAnchor="text"/>
                    <w:spacing w:line="252" w:lineRule="auto"/>
                    <w:jc w:val="both"/>
                  </w:pPr>
                </w:p>
              </w:tc>
              <w:tc>
                <w:tcPr>
                  <w:tcW w:w="7380" w:type="dxa"/>
                  <w:tcMar>
                    <w:top w:w="0" w:type="dxa"/>
                    <w:left w:w="108" w:type="dxa"/>
                    <w:bottom w:w="0" w:type="dxa"/>
                    <w:right w:w="108" w:type="dxa"/>
                  </w:tcMar>
                  <w:hideMark/>
                </w:tcPr>
                <w:p w:rsidR="009340AE" w:rsidRDefault="009340AE" w:rsidP="003361FF">
                  <w:pPr>
                    <w:framePr w:hSpace="180" w:wrap="around" w:vAnchor="text" w:hAnchor="text"/>
                    <w:spacing w:before="120" w:line="252" w:lineRule="auto"/>
                    <w:jc w:val="both"/>
                  </w:pPr>
                  <w:r>
                    <w:t> </w:t>
                  </w:r>
                </w:p>
              </w:tc>
            </w:tr>
            <w:tr w:rsidR="00540B29" w:rsidTr="009340AE">
              <w:tc>
                <w:tcPr>
                  <w:tcW w:w="2706" w:type="dxa"/>
                  <w:tcMar>
                    <w:top w:w="0" w:type="dxa"/>
                    <w:left w:w="108" w:type="dxa"/>
                    <w:bottom w:w="0" w:type="dxa"/>
                    <w:right w:w="108" w:type="dxa"/>
                  </w:tcMar>
                </w:tcPr>
                <w:p w:rsidR="009340AE" w:rsidRDefault="009340AE" w:rsidP="003361FF">
                  <w:pPr>
                    <w:framePr w:hSpace="180" w:wrap="around" w:vAnchor="text" w:hAnchor="text"/>
                    <w:spacing w:line="252" w:lineRule="auto"/>
                    <w:jc w:val="both"/>
                  </w:pPr>
                </w:p>
              </w:tc>
              <w:tc>
                <w:tcPr>
                  <w:tcW w:w="7380" w:type="dxa"/>
                  <w:tcMar>
                    <w:top w:w="0" w:type="dxa"/>
                    <w:left w:w="108" w:type="dxa"/>
                    <w:bottom w:w="0" w:type="dxa"/>
                    <w:right w:w="108" w:type="dxa"/>
                  </w:tcMar>
                </w:tcPr>
                <w:p w:rsidR="009340AE" w:rsidRDefault="009340AE" w:rsidP="003361FF">
                  <w:pPr>
                    <w:framePr w:hSpace="180" w:wrap="around" w:vAnchor="text" w:hAnchor="text"/>
                    <w:spacing w:line="252" w:lineRule="auto"/>
                    <w:jc w:val="both"/>
                  </w:pPr>
                </w:p>
              </w:tc>
            </w:tr>
            <w:tr w:rsidR="00540B29">
              <w:tc>
                <w:tcPr>
                  <w:tcW w:w="2706" w:type="dxa"/>
                  <w:tcMar>
                    <w:top w:w="0" w:type="dxa"/>
                    <w:left w:w="108" w:type="dxa"/>
                    <w:bottom w:w="0" w:type="dxa"/>
                    <w:right w:w="108" w:type="dxa"/>
                  </w:tcMar>
                  <w:hideMark/>
                </w:tcPr>
                <w:p w:rsidR="009340AE" w:rsidRDefault="009340AE" w:rsidP="003361FF">
                  <w:pPr>
                    <w:framePr w:hSpace="180" w:wrap="around" w:vAnchor="text" w:hAnchor="text"/>
                    <w:spacing w:line="252" w:lineRule="auto"/>
                    <w:jc w:val="both"/>
                  </w:pPr>
                  <w:r>
                    <w:rPr>
                      <w:noProof/>
                    </w:rPr>
                    <w:drawing>
                      <wp:inline distT="0" distB="0" distL="0" distR="0">
                        <wp:extent cx="1595120" cy="1439545"/>
                        <wp:effectExtent l="0" t="0" r="5080" b="8255"/>
                        <wp:docPr id="1" name="Picture 1" descr="cid:image005.jpg@01D56622.C301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56622.C3014820"/>
                                <pic:cNvPicPr>
                                  <a:picLocks noChangeAspect="1" noChangeArrowheads="1"/>
                                </pic:cNvPicPr>
                              </pic:nvPicPr>
                              <pic:blipFill>
                                <a:blip r:embed="rId11" r:link="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5120" cy="1439545"/>
                                </a:xfrm>
                                <a:prstGeom prst="rect">
                                  <a:avLst/>
                                </a:prstGeom>
                                <a:noFill/>
                                <a:ln>
                                  <a:noFill/>
                                </a:ln>
                              </pic:spPr>
                            </pic:pic>
                          </a:graphicData>
                        </a:graphic>
                      </wp:inline>
                    </w:drawing>
                  </w:r>
                </w:p>
              </w:tc>
              <w:tc>
                <w:tcPr>
                  <w:tcW w:w="7380" w:type="dxa"/>
                  <w:tcMar>
                    <w:top w:w="0" w:type="dxa"/>
                    <w:left w:w="108" w:type="dxa"/>
                    <w:bottom w:w="0" w:type="dxa"/>
                    <w:right w:w="108" w:type="dxa"/>
                  </w:tcMar>
                  <w:hideMark/>
                </w:tcPr>
                <w:p w:rsidR="009340AE" w:rsidRDefault="009340AE" w:rsidP="003361FF">
                  <w:pPr>
                    <w:framePr w:hSpace="180" w:wrap="around" w:vAnchor="text" w:hAnchor="text"/>
                    <w:spacing w:line="252" w:lineRule="auto"/>
                    <w:jc w:val="both"/>
                  </w:pPr>
                  <w:r>
                    <w:rPr>
                      <w:b/>
                      <w:bCs/>
                      <w:color w:val="000000"/>
                      <w:shd w:val="clear" w:color="auto" w:fill="FFFFFF"/>
                    </w:rPr>
                    <w:t>Dilip Ratha</w:t>
                  </w:r>
                  <w:r>
                    <w:rPr>
                      <w:color w:val="000000"/>
                      <w:shd w:val="clear" w:color="auto" w:fill="FFFFFF"/>
                    </w:rPr>
                    <w:t xml:space="preserve"> is head of KNOMAD and lead economist, migration and remittances, Social Protection and Jobs, at the World Bank. He has written extensively on migration and innovative financing for development, including remittances, diaspora bonds, future-flow securitization, and prediction of sovereign credit ratings.  His TED Talk “The hidden force in global economics: sending money home” has 1.37 million views. </w:t>
                  </w:r>
                </w:p>
              </w:tc>
            </w:tr>
          </w:tbl>
          <w:p w:rsidR="009340AE" w:rsidRDefault="009340AE">
            <w:pPr>
              <w:rPr>
                <w:rFonts w:ascii="Times New Roman" w:eastAsia="Times New Roman" w:hAnsi="Times New Roman" w:cs="Times New Roman"/>
                <w:sz w:val="20"/>
                <w:szCs w:val="20"/>
              </w:rPr>
            </w:pPr>
          </w:p>
        </w:tc>
      </w:tr>
      <w:tr w:rsidR="0050279A" w:rsidTr="009340AE">
        <w:tc>
          <w:tcPr>
            <w:tcW w:w="10260" w:type="dxa"/>
            <w:tcMar>
              <w:top w:w="0" w:type="dxa"/>
              <w:left w:w="72" w:type="dxa"/>
              <w:bottom w:w="0" w:type="dxa"/>
              <w:right w:w="72" w:type="dxa"/>
            </w:tcMar>
          </w:tcPr>
          <w:p w:rsidR="0050279A" w:rsidRPr="009340AE" w:rsidRDefault="0050279A">
            <w:pPr>
              <w:spacing w:line="252" w:lineRule="auto"/>
              <w:jc w:val="center"/>
            </w:pPr>
          </w:p>
        </w:tc>
      </w:tr>
    </w:tbl>
    <w:tbl>
      <w:tblPr>
        <w:tblW w:w="0" w:type="auto"/>
        <w:shd w:val="clear" w:color="auto" w:fill="FFFFFF"/>
        <w:tblCellMar>
          <w:left w:w="0" w:type="dxa"/>
          <w:right w:w="0" w:type="dxa"/>
        </w:tblCellMar>
        <w:tblLook w:val="04A0"/>
      </w:tblPr>
      <w:tblGrid>
        <w:gridCol w:w="9504"/>
      </w:tblGrid>
      <w:tr w:rsidR="00DC45F1" w:rsidTr="00DC45F1">
        <w:tc>
          <w:tcPr>
            <w:tcW w:w="9504" w:type="dxa"/>
            <w:shd w:val="clear" w:color="auto" w:fill="FFFFFF"/>
            <w:tcMar>
              <w:top w:w="0" w:type="dxa"/>
              <w:left w:w="72" w:type="dxa"/>
              <w:bottom w:w="0" w:type="dxa"/>
              <w:right w:w="72" w:type="dxa"/>
            </w:tcMar>
            <w:vAlign w:val="center"/>
            <w:hideMark/>
          </w:tcPr>
          <w:p w:rsidR="00DC45F1" w:rsidRDefault="00DC45F1"/>
          <w:tbl>
            <w:tblPr>
              <w:tblW w:w="0" w:type="auto"/>
              <w:jc w:val="center"/>
              <w:tblCellMar>
                <w:left w:w="0" w:type="dxa"/>
                <w:right w:w="0" w:type="dxa"/>
              </w:tblCellMar>
              <w:tblLook w:val="04A0"/>
            </w:tblPr>
            <w:tblGrid>
              <w:gridCol w:w="3252"/>
              <w:gridCol w:w="3412"/>
            </w:tblGrid>
            <w:tr w:rsidR="00DC45F1" w:rsidTr="00DC45F1">
              <w:trPr>
                <w:trHeight w:val="4318"/>
                <w:jc w:val="center"/>
              </w:trPr>
              <w:tc>
                <w:tcPr>
                  <w:tcW w:w="32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45F1" w:rsidRDefault="00DC45F1">
                  <w:pPr>
                    <w:pStyle w:val="NormalWeb"/>
                    <w:spacing w:line="231" w:lineRule="atLeast"/>
                    <w:jc w:val="center"/>
                    <w:rPr>
                      <w:rFonts w:ascii="Helvetica" w:hAnsi="Helvetica"/>
                    </w:rPr>
                  </w:pPr>
                  <w:r>
                    <w:rPr>
                      <w:color w:val="000000"/>
                      <w:sz w:val="20"/>
                      <w:szCs w:val="20"/>
                    </w:rPr>
                    <w:t>External participants please email:</w:t>
                  </w:r>
                </w:p>
                <w:p w:rsidR="00DC45F1" w:rsidRDefault="00DC45F1">
                  <w:pPr>
                    <w:pStyle w:val="NormalWeb"/>
                    <w:spacing w:line="231" w:lineRule="atLeast"/>
                    <w:jc w:val="center"/>
                    <w:rPr>
                      <w:rFonts w:ascii="Helvetica" w:hAnsi="Helvetica"/>
                    </w:rPr>
                  </w:pPr>
                  <w:r>
                    <w:rPr>
                      <w:sz w:val="20"/>
                      <w:szCs w:val="20"/>
                    </w:rPr>
                    <w:t> </w:t>
                  </w:r>
                  <w:hyperlink r:id="rId13" w:tgtFrame="_blank" w:history="1">
                    <w:r>
                      <w:rPr>
                        <w:rStyle w:val="Hyperlink"/>
                        <w:i/>
                        <w:iCs/>
                        <w:color w:val="1155CC"/>
                        <w:sz w:val="20"/>
                        <w:szCs w:val="20"/>
                      </w:rPr>
                      <w:t>Malkiatsingh@worldbank.org</w:t>
                    </w:r>
                  </w:hyperlink>
                </w:p>
                <w:p w:rsidR="00DC45F1" w:rsidRDefault="00DC45F1">
                  <w:pPr>
                    <w:pStyle w:val="NormalWeb"/>
                    <w:spacing w:line="231" w:lineRule="atLeast"/>
                    <w:jc w:val="center"/>
                    <w:rPr>
                      <w:rFonts w:ascii="Helvetica" w:hAnsi="Helvetica"/>
                    </w:rPr>
                  </w:pPr>
                  <w:r>
                    <w:rPr>
                      <w:sz w:val="20"/>
                      <w:szCs w:val="20"/>
                    </w:rPr>
                    <w:t> </w:t>
                  </w:r>
                </w:p>
                <w:p w:rsidR="00DC45F1" w:rsidRDefault="00DC45F1">
                  <w:pPr>
                    <w:pStyle w:val="NormalWeb"/>
                    <w:spacing w:line="231" w:lineRule="atLeast"/>
                    <w:jc w:val="center"/>
                    <w:rPr>
                      <w:rFonts w:ascii="Helvetica" w:hAnsi="Helvetica"/>
                    </w:rPr>
                  </w:pPr>
                  <w:r>
                    <w:rPr>
                      <w:sz w:val="20"/>
                      <w:szCs w:val="20"/>
                    </w:rPr>
                    <w:t>or call 202-473-7711</w:t>
                  </w:r>
                </w:p>
                <w:p w:rsidR="00DC45F1" w:rsidRDefault="00DC45F1">
                  <w:pPr>
                    <w:pStyle w:val="NormalWeb"/>
                    <w:spacing w:line="231" w:lineRule="atLeast"/>
                    <w:jc w:val="center"/>
                    <w:rPr>
                      <w:rFonts w:ascii="Helvetica" w:hAnsi="Helvetica"/>
                    </w:rPr>
                  </w:pPr>
                  <w:r>
                    <w:rPr>
                      <w:sz w:val="20"/>
                      <w:szCs w:val="20"/>
                    </w:rPr>
                    <w:t>to RSVP and request a visitor’s pass</w:t>
                  </w:r>
                </w:p>
                <w:p w:rsidR="00DC45F1" w:rsidRDefault="00DC45F1">
                  <w:pPr>
                    <w:pStyle w:val="NormalWeb"/>
                    <w:spacing w:line="231" w:lineRule="atLeast"/>
                    <w:jc w:val="center"/>
                    <w:rPr>
                      <w:rFonts w:ascii="Helvetica" w:hAnsi="Helvetica"/>
                    </w:rPr>
                  </w:pPr>
                </w:p>
                <w:p w:rsidR="00DC45F1" w:rsidRDefault="00DC45F1">
                  <w:pPr>
                    <w:pStyle w:val="NormalWeb"/>
                    <w:spacing w:line="231" w:lineRule="atLeast"/>
                    <w:jc w:val="center"/>
                    <w:rPr>
                      <w:rFonts w:ascii="Helvetica" w:hAnsi="Helvetica"/>
                    </w:rPr>
                  </w:pPr>
                  <w:r>
                    <w:rPr>
                      <w:sz w:val="20"/>
                      <w:szCs w:val="20"/>
                    </w:rPr>
                    <w:t> </w:t>
                  </w:r>
                </w:p>
                <w:p w:rsidR="00DC45F1" w:rsidRDefault="00DC45F1">
                  <w:pPr>
                    <w:pStyle w:val="NormalWeb"/>
                    <w:spacing w:line="231" w:lineRule="atLeast"/>
                    <w:jc w:val="center"/>
                    <w:rPr>
                      <w:rFonts w:ascii="Helvetica" w:hAnsi="Helvetica"/>
                    </w:rPr>
                  </w:pPr>
                  <w:r>
                    <w:rPr>
                      <w:i/>
                      <w:iCs/>
                      <w:sz w:val="20"/>
                      <w:szCs w:val="20"/>
                    </w:rPr>
                    <w:t> </w:t>
                  </w:r>
                </w:p>
                <w:p w:rsidR="00DC45F1" w:rsidRDefault="00DC45F1">
                  <w:pPr>
                    <w:pStyle w:val="NormalWeb"/>
                    <w:spacing w:line="231" w:lineRule="atLeast"/>
                    <w:jc w:val="center"/>
                    <w:rPr>
                      <w:rFonts w:ascii="Helvetica" w:hAnsi="Helvetica"/>
                    </w:rPr>
                  </w:pPr>
                  <w:r>
                    <w:rPr>
                      <w:sz w:val="20"/>
                      <w:szCs w:val="20"/>
                    </w:rPr>
                    <w:t> </w:t>
                  </w:r>
                </w:p>
              </w:tc>
              <w:tc>
                <w:tcPr>
                  <w:tcW w:w="3412" w:type="dxa"/>
                  <w:tcBorders>
                    <w:top w:val="single" w:sz="8" w:space="0" w:color="auto"/>
                    <w:left w:val="nil"/>
                    <w:bottom w:val="single" w:sz="8" w:space="0" w:color="auto"/>
                    <w:right w:val="nil"/>
                  </w:tcBorders>
                  <w:tcMar>
                    <w:top w:w="0" w:type="dxa"/>
                    <w:left w:w="108" w:type="dxa"/>
                    <w:bottom w:w="0" w:type="dxa"/>
                    <w:right w:w="108" w:type="dxa"/>
                  </w:tcMar>
                  <w:vAlign w:val="center"/>
                  <w:hideMark/>
                </w:tcPr>
                <w:tbl>
                  <w:tblPr>
                    <w:tblW w:w="5000" w:type="pct"/>
                    <w:tblCellMar>
                      <w:left w:w="0" w:type="dxa"/>
                      <w:right w:w="0" w:type="dxa"/>
                    </w:tblCellMar>
                    <w:tblLook w:val="04A0"/>
                  </w:tblPr>
                  <w:tblGrid>
                    <w:gridCol w:w="3196"/>
                  </w:tblGrid>
                  <w:tr w:rsidR="003A2604">
                    <w:tc>
                      <w:tcPr>
                        <w:tcW w:w="0" w:type="auto"/>
                        <w:vAlign w:val="center"/>
                        <w:hideMark/>
                      </w:tcPr>
                      <w:p w:rsidR="003A2604" w:rsidRDefault="003A2604">
                        <w:pPr>
                          <w:spacing w:line="270" w:lineRule="atLeast"/>
                          <w:jc w:val="center"/>
                          <w:rPr>
                            <w:rFonts w:ascii="Times New Roman" w:hAnsi="Times New Roman" w:cs="Times New Roman"/>
                            <w:color w:val="222222"/>
                          </w:rPr>
                        </w:pPr>
                        <w:hyperlink r:id="rId14" w:tgtFrame="_blank" w:tooltip="https://worldbankgroup.webex.com/mw3300/mywebex/default.do?service=1&amp;siteurl=worldbankgroup&amp;nomenu=true&amp;main_url=%2Fmc3300%2Fe.do%3Fsiteurl%3Dworldbankgroup%26AT%3DMI%26EventID%3D827788187%26UID%3D0%26Host%3DQUhTSwAAAAR82n8j0ZHgCuvJ2ZkVGgt9IGUYv9ucTpShi0p" w:history="1">
                          <w:proofErr w:type="spellStart"/>
                          <w:r>
                            <w:rPr>
                              <w:rStyle w:val="Hyperlink"/>
                              <w:rFonts w:ascii="Arial" w:hAnsi="Arial" w:cs="Arial"/>
                              <w:color w:val="1155CC"/>
                              <w:sz w:val="20"/>
                              <w:szCs w:val="20"/>
                            </w:rPr>
                            <w:t>Webex</w:t>
                          </w:r>
                          <w:proofErr w:type="spellEnd"/>
                        </w:hyperlink>
                        <w:r>
                          <w:rPr>
                            <w:rFonts w:ascii="Arial" w:hAnsi="Arial" w:cs="Arial"/>
                            <w:color w:val="2E74B5"/>
                            <w:sz w:val="20"/>
                            <w:szCs w:val="20"/>
                          </w:rPr>
                          <w:t>:</w:t>
                        </w:r>
                      </w:p>
                      <w:p w:rsidR="003A2604" w:rsidRDefault="003A2604">
                        <w:pPr>
                          <w:spacing w:line="270" w:lineRule="atLeast"/>
                          <w:jc w:val="center"/>
                          <w:rPr>
                            <w:color w:val="222222"/>
                            <w:sz w:val="24"/>
                            <w:szCs w:val="24"/>
                          </w:rPr>
                        </w:pPr>
                        <w:r>
                          <w:rPr>
                            <w:rFonts w:ascii="Arial" w:hAnsi="Arial" w:cs="Arial"/>
                            <w:color w:val="666666"/>
                            <w:sz w:val="20"/>
                            <w:szCs w:val="20"/>
                          </w:rPr>
                          <w:t>Password: </w:t>
                        </w:r>
                        <w:r>
                          <w:rPr>
                            <w:rStyle w:val="m-7479091807282588076boldvalue"/>
                            <w:rFonts w:ascii="Arial" w:hAnsi="Arial" w:cs="Arial"/>
                            <w:b/>
                            <w:bCs/>
                            <w:color w:val="333333"/>
                            <w:sz w:val="20"/>
                            <w:szCs w:val="20"/>
                          </w:rPr>
                          <w:t>tZhebMB3</w:t>
                        </w:r>
                      </w:p>
                    </w:tc>
                  </w:tr>
                  <w:tr w:rsidR="003A2604">
                    <w:tc>
                      <w:tcPr>
                        <w:tcW w:w="0" w:type="auto"/>
                        <w:vAlign w:val="center"/>
                        <w:hideMark/>
                      </w:tcPr>
                      <w:p w:rsidR="003A2604" w:rsidRDefault="003A2604">
                        <w:pPr>
                          <w:spacing w:line="270" w:lineRule="atLeast"/>
                          <w:jc w:val="center"/>
                          <w:rPr>
                            <w:color w:val="222222"/>
                            <w:sz w:val="24"/>
                            <w:szCs w:val="24"/>
                          </w:rPr>
                        </w:pPr>
                        <w:r>
                          <w:rPr>
                            <w:rFonts w:ascii="Arial" w:hAnsi="Arial" w:cs="Arial"/>
                            <w:color w:val="666666"/>
                            <w:sz w:val="20"/>
                            <w:szCs w:val="20"/>
                          </w:rPr>
                          <w:t>Number:</w:t>
                        </w:r>
                        <w:r>
                          <w:rPr>
                            <w:rStyle w:val="m-7479091807282588076m-7447520596354917536boldvalue"/>
                            <w:rFonts w:ascii="Arial" w:hAnsi="Arial" w:cs="Arial"/>
                            <w:b/>
                            <w:bCs/>
                            <w:color w:val="333333"/>
                            <w:sz w:val="20"/>
                            <w:szCs w:val="20"/>
                          </w:rPr>
                          <w:t> </w:t>
                        </w:r>
                        <w:r>
                          <w:rPr>
                            <w:rStyle w:val="m-7479091807282588076boldvalue"/>
                            <w:rFonts w:ascii="Arial" w:hAnsi="Arial" w:cs="Arial"/>
                            <w:b/>
                            <w:bCs/>
                            <w:color w:val="333333"/>
                            <w:sz w:val="20"/>
                            <w:szCs w:val="20"/>
                          </w:rPr>
                          <w:t>738 285 866</w:t>
                        </w:r>
                      </w:p>
                    </w:tc>
                  </w:tr>
                </w:tbl>
                <w:p w:rsidR="00DC45F1" w:rsidRDefault="00DC45F1">
                  <w:pPr>
                    <w:jc w:val="center"/>
                    <w:rPr>
                      <w:rFonts w:ascii="Times New Roman" w:hAnsi="Times New Roman"/>
                    </w:rPr>
                  </w:pPr>
                  <w:r>
                    <w:rPr>
                      <w:rStyle w:val="m8967113208387378020m-7447520596354917536boldvalue"/>
                      <w:rFonts w:ascii="Helvetica" w:hAnsi="Helvetica"/>
                      <w:color w:val="222222"/>
                    </w:rPr>
                    <w:t> </w:t>
                  </w:r>
                </w:p>
                <w:p w:rsidR="00DC45F1" w:rsidRDefault="00DC45F1">
                  <w:pPr>
                    <w:jc w:val="center"/>
                  </w:pPr>
                  <w:r>
                    <w:rPr>
                      <w:rStyle w:val="m8967113208387378020m-7447520596354917536boldvalue"/>
                      <w:rFonts w:ascii="Helvetica" w:hAnsi="Helvetica"/>
                      <w:b/>
                      <w:bCs/>
                      <w:color w:val="222222"/>
                    </w:rPr>
                    <w:t> </w:t>
                  </w:r>
                </w:p>
                <w:p w:rsidR="003A2604" w:rsidRDefault="003A2604" w:rsidP="003A2604">
                  <w:pPr>
                    <w:shd w:val="clear" w:color="auto" w:fill="FFFFFF"/>
                    <w:jc w:val="center"/>
                    <w:rPr>
                      <w:rFonts w:ascii="Helvetica" w:hAnsi="Helvetica" w:cs="Helvetica"/>
                      <w:color w:val="222222"/>
                    </w:rPr>
                  </w:pPr>
                  <w:hyperlink r:id="rId15" w:tgtFrame="_blank" w:tooltip="https://worldbankgroup.webex.com/worldbankgroup/globalcallin.php?serviceType=MC&amp;eventID=827788187&amp;tollFree=0" w:history="1">
                    <w:r>
                      <w:rPr>
                        <w:rStyle w:val="Hyperlink"/>
                        <w:rFonts w:ascii="Helvetica" w:hAnsi="Helvetica" w:cs="Helvetica"/>
                        <w:b/>
                        <w:bCs/>
                        <w:color w:val="1155CC"/>
                      </w:rPr>
                      <w:t>Global call-in numbers</w:t>
                    </w:r>
                  </w:hyperlink>
                </w:p>
                <w:p w:rsidR="003A2604" w:rsidRDefault="003A2604" w:rsidP="003A2604">
                  <w:pPr>
                    <w:shd w:val="clear" w:color="auto" w:fill="FFFFFF"/>
                    <w:jc w:val="center"/>
                    <w:rPr>
                      <w:rFonts w:ascii="Helvetica" w:hAnsi="Helvetica" w:cs="Helvetica"/>
                      <w:color w:val="222222"/>
                    </w:rPr>
                  </w:pPr>
                  <w:r>
                    <w:rPr>
                      <w:rFonts w:ascii="Helvetica" w:hAnsi="Helvetica" w:cs="Helvetica"/>
                      <w:color w:val="222222"/>
                    </w:rPr>
                    <w:t>Toll:</w:t>
                  </w:r>
                  <w:r>
                    <w:rPr>
                      <w:rStyle w:val="m-7479091807282588076m-7447520596354917536boldvalue"/>
                      <w:rFonts w:ascii="Helvetica" w:hAnsi="Helvetica" w:cs="Helvetica"/>
                      <w:color w:val="222222"/>
                    </w:rPr>
                    <w:t> </w:t>
                  </w:r>
                  <w:r>
                    <w:rPr>
                      <w:rStyle w:val="m-7479091807282588076boldvalue"/>
                      <w:rFonts w:ascii="Arial" w:hAnsi="Arial" w:cs="Arial"/>
                      <w:b/>
                      <w:bCs/>
                      <w:color w:val="333333"/>
                      <w:sz w:val="20"/>
                      <w:szCs w:val="20"/>
                    </w:rPr>
                    <w:t>1-650-479-3207</w:t>
                  </w:r>
                </w:p>
                <w:p w:rsidR="003A2604" w:rsidRDefault="003A2604" w:rsidP="003A2604">
                  <w:pPr>
                    <w:shd w:val="clear" w:color="auto" w:fill="FFFFFF"/>
                    <w:jc w:val="center"/>
                    <w:rPr>
                      <w:rFonts w:ascii="Helvetica" w:hAnsi="Helvetica" w:cs="Helvetica"/>
                      <w:color w:val="222222"/>
                    </w:rPr>
                  </w:pPr>
                  <w:r>
                    <w:rPr>
                      <w:rFonts w:ascii="Helvetica" w:hAnsi="Helvetica" w:cs="Helvetica"/>
                      <w:color w:val="222222"/>
                    </w:rPr>
                    <w:t>Access code: </w:t>
                  </w:r>
                  <w:r>
                    <w:rPr>
                      <w:rStyle w:val="m-7479091807282588076boldvalue"/>
                      <w:rFonts w:ascii="Arial" w:hAnsi="Arial" w:cs="Arial"/>
                      <w:b/>
                      <w:bCs/>
                      <w:color w:val="333333"/>
                      <w:sz w:val="20"/>
                      <w:szCs w:val="20"/>
                    </w:rPr>
                    <w:t>738 285 866</w:t>
                  </w:r>
                </w:p>
                <w:p w:rsidR="00DC45F1" w:rsidRDefault="00DC45F1">
                  <w:pPr>
                    <w:pStyle w:val="NormalWeb"/>
                    <w:spacing w:line="231" w:lineRule="atLeast"/>
                    <w:jc w:val="center"/>
                    <w:rPr>
                      <w:rFonts w:ascii="Helvetica" w:hAnsi="Helvetica"/>
                    </w:rPr>
                  </w:pPr>
                  <w:r>
                    <w:rPr>
                      <w:b/>
                      <w:bCs/>
                      <w:color w:val="333333"/>
                      <w:sz w:val="20"/>
                      <w:szCs w:val="20"/>
                    </w:rPr>
                    <w:t> </w:t>
                  </w:r>
                </w:p>
                <w:p w:rsidR="00DC45F1" w:rsidRDefault="00DC45F1">
                  <w:pPr>
                    <w:pStyle w:val="NormalWeb"/>
                    <w:spacing w:line="231" w:lineRule="atLeast"/>
                    <w:jc w:val="center"/>
                    <w:rPr>
                      <w:rFonts w:ascii="Helvetica" w:hAnsi="Helvetica"/>
                    </w:rPr>
                  </w:pPr>
                  <w:r>
                    <w:rPr>
                      <w:sz w:val="20"/>
                      <w:szCs w:val="20"/>
                    </w:rPr>
                    <w:t> </w:t>
                  </w:r>
                </w:p>
              </w:tc>
            </w:tr>
          </w:tbl>
          <w:p w:rsidR="00DC45F1" w:rsidRDefault="00DC45F1">
            <w:pPr>
              <w:pStyle w:val="NormalWeb"/>
              <w:spacing w:line="231" w:lineRule="atLeast"/>
              <w:jc w:val="center"/>
              <w:rPr>
                <w:rFonts w:ascii="Helvetica" w:hAnsi="Helvetica"/>
                <w:color w:val="222222"/>
              </w:rPr>
            </w:pPr>
            <w:r>
              <w:rPr>
                <w:i/>
                <w:iCs/>
                <w:color w:val="222222"/>
                <w:sz w:val="20"/>
                <w:szCs w:val="20"/>
              </w:rPr>
              <w:t>-Refreshments will be served-</w:t>
            </w:r>
          </w:p>
          <w:p w:rsidR="00DC45F1" w:rsidRDefault="00DC45F1" w:rsidP="00DC45F1">
            <w:pPr>
              <w:pStyle w:val="NormalWeb"/>
              <w:spacing w:line="231" w:lineRule="atLeast"/>
              <w:jc w:val="center"/>
              <w:rPr>
                <w:rFonts w:ascii="Helvetica" w:hAnsi="Helvetica"/>
                <w:color w:val="222222"/>
              </w:rPr>
            </w:pPr>
            <w:r>
              <w:rPr>
                <w:color w:val="222222"/>
                <w:sz w:val="20"/>
                <w:szCs w:val="20"/>
              </w:rPr>
              <w:t xml:space="preserve">For more information on this and other KNOMAD </w:t>
            </w:r>
            <w:proofErr w:type="spellStart"/>
            <w:r>
              <w:rPr>
                <w:color w:val="222222"/>
                <w:sz w:val="20"/>
                <w:szCs w:val="20"/>
              </w:rPr>
              <w:t>seminars,please</w:t>
            </w:r>
            <w:proofErr w:type="spellEnd"/>
            <w:r>
              <w:rPr>
                <w:color w:val="222222"/>
                <w:sz w:val="20"/>
                <w:szCs w:val="20"/>
              </w:rPr>
              <w:t xml:space="preserve"> visit:</w:t>
            </w:r>
            <w:r>
              <w:rPr>
                <w:color w:val="1F497D"/>
                <w:sz w:val="20"/>
                <w:szCs w:val="20"/>
              </w:rPr>
              <w:t> </w:t>
            </w:r>
            <w:hyperlink r:id="rId16" w:tgtFrame="_blank" w:history="1">
              <w:r>
                <w:rPr>
                  <w:rStyle w:val="Hyperlink"/>
                  <w:b/>
                  <w:bCs/>
                  <w:color w:val="1155CC"/>
                  <w:sz w:val="20"/>
                  <w:szCs w:val="20"/>
                </w:rPr>
                <w:t>http://www.knomad.org</w:t>
              </w:r>
            </w:hyperlink>
            <w:hyperlink r:id="rId17" w:tgtFrame="_blank" w:history="1">
              <w:r>
                <w:rPr>
                  <w:rStyle w:val="Hyperlink"/>
                  <w:b/>
                  <w:bCs/>
                  <w:color w:val="1155CC"/>
                  <w:sz w:val="20"/>
                  <w:szCs w:val="20"/>
                </w:rPr>
                <w:t>/</w:t>
              </w:r>
            </w:hyperlink>
          </w:p>
        </w:tc>
      </w:tr>
    </w:tbl>
    <w:p w:rsidR="00DC45F1" w:rsidRDefault="00DC45F1"/>
    <w:sectPr w:rsidR="00DC45F1" w:rsidSect="004378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40AE"/>
    <w:rsid w:val="0003365E"/>
    <w:rsid w:val="000414E5"/>
    <w:rsid w:val="00050255"/>
    <w:rsid w:val="000D62FC"/>
    <w:rsid w:val="00110C5B"/>
    <w:rsid w:val="00162171"/>
    <w:rsid w:val="001D7915"/>
    <w:rsid w:val="00233361"/>
    <w:rsid w:val="00234C98"/>
    <w:rsid w:val="003361FF"/>
    <w:rsid w:val="003A2604"/>
    <w:rsid w:val="00427999"/>
    <w:rsid w:val="0043788F"/>
    <w:rsid w:val="004C7073"/>
    <w:rsid w:val="0050279A"/>
    <w:rsid w:val="00536DEF"/>
    <w:rsid w:val="005376E3"/>
    <w:rsid w:val="00540B29"/>
    <w:rsid w:val="005A4AB0"/>
    <w:rsid w:val="00601B1C"/>
    <w:rsid w:val="006134CF"/>
    <w:rsid w:val="00653ADC"/>
    <w:rsid w:val="00686E74"/>
    <w:rsid w:val="007A36AE"/>
    <w:rsid w:val="00853D49"/>
    <w:rsid w:val="00874A0A"/>
    <w:rsid w:val="00877DE7"/>
    <w:rsid w:val="008B4E68"/>
    <w:rsid w:val="008B67D9"/>
    <w:rsid w:val="008C75A9"/>
    <w:rsid w:val="00903237"/>
    <w:rsid w:val="009169AB"/>
    <w:rsid w:val="009340AE"/>
    <w:rsid w:val="00BC3EC2"/>
    <w:rsid w:val="00BD417E"/>
    <w:rsid w:val="00C816BC"/>
    <w:rsid w:val="00D66310"/>
    <w:rsid w:val="00DC2275"/>
    <w:rsid w:val="00DC45F1"/>
    <w:rsid w:val="00DD090E"/>
    <w:rsid w:val="00E16834"/>
    <w:rsid w:val="00E572DB"/>
    <w:rsid w:val="00F75E71"/>
    <w:rsid w:val="00FA49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0AE"/>
    <w:rPr>
      <w:color w:val="0563C1"/>
      <w:u w:val="single"/>
    </w:rPr>
  </w:style>
  <w:style w:type="paragraph" w:styleId="BalloonText">
    <w:name w:val="Balloon Text"/>
    <w:basedOn w:val="Normal"/>
    <w:link w:val="BalloonTextChar"/>
    <w:uiPriority w:val="99"/>
    <w:semiHidden/>
    <w:unhideWhenUsed/>
    <w:rsid w:val="00934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0AE"/>
    <w:rPr>
      <w:rFonts w:ascii="Segoe UI" w:hAnsi="Segoe UI" w:cs="Segoe UI"/>
      <w:sz w:val="18"/>
      <w:szCs w:val="18"/>
    </w:rPr>
  </w:style>
  <w:style w:type="character" w:styleId="Emphasis">
    <w:name w:val="Emphasis"/>
    <w:basedOn w:val="DefaultParagraphFont"/>
    <w:uiPriority w:val="20"/>
    <w:qFormat/>
    <w:rsid w:val="009340AE"/>
    <w:rPr>
      <w:i/>
      <w:iCs/>
    </w:rPr>
  </w:style>
  <w:style w:type="paragraph" w:styleId="NormalWeb">
    <w:name w:val="Normal (Web)"/>
    <w:basedOn w:val="Normal"/>
    <w:uiPriority w:val="99"/>
    <w:unhideWhenUsed/>
    <w:rsid w:val="00DC45F1"/>
    <w:pPr>
      <w:spacing w:before="100" w:beforeAutospacing="1" w:after="100" w:afterAutospacing="1"/>
    </w:pPr>
    <w:rPr>
      <w:rFonts w:ascii="Times New Roman" w:eastAsia="Times New Roman" w:hAnsi="Times New Roman" w:cs="Times New Roman"/>
      <w:sz w:val="24"/>
      <w:szCs w:val="24"/>
    </w:rPr>
  </w:style>
  <w:style w:type="character" w:customStyle="1" w:styleId="m8967113208387378020boldvalue">
    <w:name w:val="m_8967113208387378020boldvalue"/>
    <w:basedOn w:val="DefaultParagraphFont"/>
    <w:rsid w:val="00DC45F1"/>
  </w:style>
  <w:style w:type="character" w:customStyle="1" w:styleId="m8967113208387378020m-7447520596354917536boldvalue">
    <w:name w:val="m_8967113208387378020m-7447520596354917536boldvalue"/>
    <w:basedOn w:val="DefaultParagraphFont"/>
    <w:rsid w:val="00DC45F1"/>
  </w:style>
  <w:style w:type="character" w:customStyle="1" w:styleId="m-7479091807282588076boldvalue">
    <w:name w:val="m_-7479091807282588076boldvalue"/>
    <w:basedOn w:val="DefaultParagraphFont"/>
    <w:rsid w:val="003A2604"/>
  </w:style>
  <w:style w:type="character" w:customStyle="1" w:styleId="m-7479091807282588076m-7447520596354917536boldvalue">
    <w:name w:val="m_-7479091807282588076m-7447520596354917536boldvalue"/>
    <w:basedOn w:val="DefaultParagraphFont"/>
    <w:rsid w:val="003A2604"/>
  </w:style>
</w:styles>
</file>

<file path=word/webSettings.xml><?xml version="1.0" encoding="utf-8"?>
<w:webSettings xmlns:r="http://schemas.openxmlformats.org/officeDocument/2006/relationships" xmlns:w="http://schemas.openxmlformats.org/wordprocessingml/2006/main">
  <w:divs>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786385532">
      <w:bodyDiv w:val="1"/>
      <w:marLeft w:val="0"/>
      <w:marRight w:val="0"/>
      <w:marTop w:val="0"/>
      <w:marBottom w:val="0"/>
      <w:divBdr>
        <w:top w:val="none" w:sz="0" w:space="0" w:color="auto"/>
        <w:left w:val="none" w:sz="0" w:space="0" w:color="auto"/>
        <w:bottom w:val="none" w:sz="0" w:space="0" w:color="auto"/>
        <w:right w:val="none" w:sz="0" w:space="0" w:color="auto"/>
      </w:divBdr>
    </w:div>
    <w:div w:id="941229160">
      <w:bodyDiv w:val="1"/>
      <w:marLeft w:val="0"/>
      <w:marRight w:val="0"/>
      <w:marTop w:val="0"/>
      <w:marBottom w:val="0"/>
      <w:divBdr>
        <w:top w:val="none" w:sz="0" w:space="0" w:color="auto"/>
        <w:left w:val="none" w:sz="0" w:space="0" w:color="auto"/>
        <w:bottom w:val="none" w:sz="0" w:space="0" w:color="auto"/>
        <w:right w:val="none" w:sz="0" w:space="0" w:color="auto"/>
      </w:divBdr>
    </w:div>
    <w:div w:id="1126124942">
      <w:bodyDiv w:val="1"/>
      <w:marLeft w:val="0"/>
      <w:marRight w:val="0"/>
      <w:marTop w:val="0"/>
      <w:marBottom w:val="0"/>
      <w:divBdr>
        <w:top w:val="none" w:sz="0" w:space="0" w:color="auto"/>
        <w:left w:val="none" w:sz="0" w:space="0" w:color="auto"/>
        <w:bottom w:val="none" w:sz="0" w:space="0" w:color="auto"/>
        <w:right w:val="none" w:sz="0" w:space="0" w:color="auto"/>
      </w:divBdr>
    </w:div>
    <w:div w:id="1244338010">
      <w:bodyDiv w:val="1"/>
      <w:marLeft w:val="0"/>
      <w:marRight w:val="0"/>
      <w:marTop w:val="0"/>
      <w:marBottom w:val="0"/>
      <w:divBdr>
        <w:top w:val="none" w:sz="0" w:space="0" w:color="auto"/>
        <w:left w:val="none" w:sz="0" w:space="0" w:color="auto"/>
        <w:bottom w:val="none" w:sz="0" w:space="0" w:color="auto"/>
        <w:right w:val="none" w:sz="0" w:space="0" w:color="auto"/>
      </w:divBdr>
    </w:div>
    <w:div w:id="1370647658">
      <w:bodyDiv w:val="1"/>
      <w:marLeft w:val="0"/>
      <w:marRight w:val="0"/>
      <w:marTop w:val="0"/>
      <w:marBottom w:val="0"/>
      <w:divBdr>
        <w:top w:val="none" w:sz="0" w:space="0" w:color="auto"/>
        <w:left w:val="none" w:sz="0" w:space="0" w:color="auto"/>
        <w:bottom w:val="none" w:sz="0" w:space="0" w:color="auto"/>
        <w:right w:val="none" w:sz="0" w:space="0" w:color="auto"/>
      </w:divBdr>
    </w:div>
    <w:div w:id="1440753851">
      <w:bodyDiv w:val="1"/>
      <w:marLeft w:val="0"/>
      <w:marRight w:val="0"/>
      <w:marTop w:val="0"/>
      <w:marBottom w:val="0"/>
      <w:divBdr>
        <w:top w:val="none" w:sz="0" w:space="0" w:color="auto"/>
        <w:left w:val="none" w:sz="0" w:space="0" w:color="auto"/>
        <w:bottom w:val="none" w:sz="0" w:space="0" w:color="auto"/>
        <w:right w:val="none" w:sz="0" w:space="0" w:color="auto"/>
      </w:divBdr>
    </w:div>
    <w:div w:id="19092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64DB.74465740" TargetMode="External"/><Relationship Id="rId13" Type="http://schemas.openxmlformats.org/officeDocument/2006/relationships/hyperlink" Target="mailto:Malkiatsingh@worldbank.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cid:image006.jpg@01D566DE.9F64E4A0" TargetMode="External"/><Relationship Id="rId17" Type="http://schemas.openxmlformats.org/officeDocument/2006/relationships/hyperlink" Target="http://www.knomad.org/" TargetMode="External"/><Relationship Id="rId2" Type="http://schemas.openxmlformats.org/officeDocument/2006/relationships/customXml" Target="../customXml/item2.xml"/><Relationship Id="rId16" Type="http://schemas.openxmlformats.org/officeDocument/2006/relationships/hyperlink" Target="http://www.knoma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orldbankgroup.webex.com/worldbankgroup/globalcallin.php?serviceType=MC&amp;eventID=827788187&amp;tollFree=0" TargetMode="External"/><Relationship Id="rId10" Type="http://schemas.openxmlformats.org/officeDocument/2006/relationships/hyperlink" Target="https://jasondeparle.com/jason-deparl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orldbankgroup.webex.com/mw3300/mywebex/default.do?service=1&amp;siteurl=worldbankgroup&amp;nomenu=true&amp;main_url=%2Fmc3300%2Fe.do%3Fsiteurl%3Dworldbankgroup%26AT%3DMI%26EventID%3D827788187%26UID%3D0%26Host%3DQUhTSwAAAAR82n8j0ZHgCuvJ2ZkVGgt9IGUYv9ucTpShi0p4G7wp6HCzYGWTCoJWUpZhJb22luYkp0828seaRtBh-anXVOuJ0%26FrameSet%3D2%26MTID%3Dme501f257c31f81bf48ccd9fadc9068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4b6b0073e6cc60ef174949287ecd51d1">
  <xsd:schema xmlns:xsd="http://www.w3.org/2001/XMLSchema" xmlns:xs="http://www.w3.org/2001/XMLSchema" xmlns:p="http://schemas.microsoft.com/office/2006/metadata/properties" xmlns:ns3="9c83b91e-5ffe-420f-9ed1-9dac5903eaec" xmlns:ns4="60c75bb3-2e3f-4394-b4f4-3e2677e21dfa" targetNamespace="http://schemas.microsoft.com/office/2006/metadata/properties" ma:root="true" ma:fieldsID="9e077563f8f53d395d4eeeaac9be589a" ns3:_="" ns4:_="">
    <xsd:import namespace="9c83b91e-5ffe-420f-9ed1-9dac5903eaec"/>
    <xsd:import namespace="60c75bb3-2e3f-4394-b4f4-3e2677e21d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641EF-6EBD-4C23-868E-F24D71EA5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3b91e-5ffe-420f-9ed1-9dac5903eaec"/>
    <ds:schemaRef ds:uri="60c75bb3-2e3f-4394-b4f4-3e2677e21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DC3E1-B42F-40BD-9F38-20098AB4A86C}">
  <ds:schemaRefs>
    <ds:schemaRef ds:uri="http://schemas.microsoft.com/sharepoint/v3/contenttype/forms"/>
  </ds:schemaRefs>
</ds:datastoreItem>
</file>

<file path=customXml/itemProps3.xml><?xml version="1.0" encoding="utf-8"?>
<ds:datastoreItem xmlns:ds="http://schemas.openxmlformats.org/officeDocument/2006/customXml" ds:itemID="{C4A520BF-7230-432E-8130-9DAE4362E1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Nadege Desiree Yameogo</dc:creator>
  <cp:lastModifiedBy>Admin</cp:lastModifiedBy>
  <cp:revision>3</cp:revision>
  <dcterms:created xsi:type="dcterms:W3CDTF">2020-02-04T13:55:00Z</dcterms:created>
  <dcterms:modified xsi:type="dcterms:W3CDTF">2020-02-04T13:56:00Z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